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47A27" w14:textId="5872A4CA" w:rsidR="00E41899" w:rsidRDefault="00E41899" w:rsidP="00E41899">
      <w:pPr>
        <w:jc w:val="center"/>
        <w:rPr>
          <w:b/>
        </w:rPr>
      </w:pPr>
      <w:r w:rsidRPr="0088312F">
        <w:rPr>
          <w:b/>
        </w:rPr>
        <w:t>Board of Trustees of the University of Oregon</w:t>
      </w:r>
    </w:p>
    <w:p w14:paraId="1F6F2A86" w14:textId="77777777" w:rsidR="007A64A5" w:rsidRDefault="007A64A5" w:rsidP="00E41899">
      <w:pPr>
        <w:jc w:val="center"/>
        <w:rPr>
          <w:b/>
        </w:rPr>
      </w:pPr>
    </w:p>
    <w:p w14:paraId="06BF1001" w14:textId="27CEC124" w:rsidR="00E41899" w:rsidRPr="00E74590" w:rsidRDefault="00760B16" w:rsidP="00E41899">
      <w:pPr>
        <w:jc w:val="center"/>
        <w:rPr>
          <w:b/>
        </w:rPr>
      </w:pPr>
      <w:r>
        <w:rPr>
          <w:b/>
        </w:rPr>
        <w:t>Seconded Motion</w:t>
      </w:r>
      <w:r w:rsidR="009913DD">
        <w:rPr>
          <w:b/>
        </w:rPr>
        <w:t xml:space="preserve">: </w:t>
      </w:r>
      <w:r w:rsidR="00A86BB2">
        <w:rPr>
          <w:b/>
        </w:rPr>
        <w:t xml:space="preserve">Budget Adjustments – Tykeson Hall </w:t>
      </w:r>
      <w:r w:rsidR="00D97675">
        <w:rPr>
          <w:b/>
        </w:rPr>
        <w:t>Capital Project</w:t>
      </w:r>
    </w:p>
    <w:p w14:paraId="744C88C7" w14:textId="77777777" w:rsidR="009F2E08" w:rsidRPr="00E74590" w:rsidRDefault="009F2E08" w:rsidP="00C44345">
      <w:pPr>
        <w:jc w:val="both"/>
      </w:pPr>
    </w:p>
    <w:p w14:paraId="195EA1BA" w14:textId="53C1DDEA" w:rsidR="00A86BB2" w:rsidRDefault="00A86BB2" w:rsidP="00C16060">
      <w:pPr>
        <w:ind w:firstLine="720"/>
        <w:jc w:val="both"/>
      </w:pPr>
      <w:r>
        <w:t xml:space="preserve">Whereas, the Board of Trustees (“Board”) authorized a capital construction project to build a college and careers building, now officially named Tykeson Hall, for a project cost of $34.55 million on September 11, 2015; </w:t>
      </w:r>
    </w:p>
    <w:p w14:paraId="1D063788" w14:textId="77777777" w:rsidR="00A86BB2" w:rsidRDefault="00A86BB2" w:rsidP="00C16060">
      <w:pPr>
        <w:ind w:firstLine="720"/>
        <w:jc w:val="both"/>
      </w:pPr>
    </w:p>
    <w:p w14:paraId="6596903A" w14:textId="33F9CF52" w:rsidR="00A86BB2" w:rsidRDefault="00A86BB2" w:rsidP="00A86BB2">
      <w:pPr>
        <w:ind w:firstLine="720"/>
        <w:jc w:val="both"/>
      </w:pPr>
      <w:r>
        <w:t xml:space="preserve">Whereas, estimates for </w:t>
      </w:r>
      <w:r w:rsidR="00D97675">
        <w:t xml:space="preserve">this project </w:t>
      </w:r>
      <w:r w:rsidR="004D69C9">
        <w:t>are now $45.55 million, which exceeds the allowable threshold (</w:t>
      </w:r>
      <w:r>
        <w:t>$5 million</w:t>
      </w:r>
      <w:r w:rsidR="004D69C9">
        <w:t>)</w:t>
      </w:r>
      <w:r>
        <w:t xml:space="preserve"> </w:t>
      </w:r>
      <w:r w:rsidR="004D69C9">
        <w:t>per</w:t>
      </w:r>
      <w:r>
        <w:t xml:space="preserve"> the Board’s </w:t>
      </w:r>
      <w:r w:rsidR="004D69C9">
        <w:t>delegation of authority</w:t>
      </w:r>
      <w:r>
        <w:t xml:space="preserve"> at that time</w:t>
      </w:r>
      <w:r w:rsidR="004D69C9">
        <w:t>,</w:t>
      </w:r>
      <w:r>
        <w:t xml:space="preserve"> and the University </w:t>
      </w:r>
      <w:r w:rsidR="00D97675">
        <w:t>must receive</w:t>
      </w:r>
      <w:r>
        <w:t xml:space="preserve"> Board approval to expend additional resources </w:t>
      </w:r>
      <w:r w:rsidR="004D69C9">
        <w:t>at this level</w:t>
      </w:r>
      <w:r>
        <w:t xml:space="preserve">; </w:t>
      </w:r>
    </w:p>
    <w:p w14:paraId="5BDBF56A" w14:textId="77777777" w:rsidR="00A86BB2" w:rsidRDefault="00A86BB2" w:rsidP="00A86BB2">
      <w:pPr>
        <w:ind w:firstLine="720"/>
        <w:jc w:val="both"/>
      </w:pPr>
    </w:p>
    <w:p w14:paraId="085CE19E" w14:textId="7305E7BA" w:rsidR="00A86BB2" w:rsidRDefault="00A86BB2" w:rsidP="00A86BB2">
      <w:pPr>
        <w:ind w:firstLine="720"/>
        <w:jc w:val="both"/>
      </w:pPr>
      <w:r>
        <w:t>Whereas, project managers and senior administrators—including the President, Provost, CFO, and AVP for Campus Planning and Facilities Management—believe th</w:t>
      </w:r>
      <w:r w:rsidR="00D97675">
        <w:t>is increased cost estimate is</w:t>
      </w:r>
      <w:r>
        <w:t xml:space="preserve"> </w:t>
      </w:r>
      <w:r w:rsidR="00C551D0">
        <w:t>necessary and</w:t>
      </w:r>
      <w:r w:rsidR="00187EB9">
        <w:t xml:space="preserve"> </w:t>
      </w:r>
      <w:r w:rsidR="00D97675">
        <w:t xml:space="preserve">is </w:t>
      </w:r>
      <w:r w:rsidR="00187EB9">
        <w:t xml:space="preserve">not excessive; </w:t>
      </w:r>
    </w:p>
    <w:p w14:paraId="5984FEBB" w14:textId="77777777" w:rsidR="00187EB9" w:rsidRDefault="00187EB9" w:rsidP="00A86BB2">
      <w:pPr>
        <w:ind w:firstLine="720"/>
        <w:jc w:val="both"/>
      </w:pPr>
    </w:p>
    <w:p w14:paraId="0919C00C" w14:textId="16FAA0B8" w:rsidR="00187EB9" w:rsidRDefault="00187EB9" w:rsidP="00A86BB2">
      <w:pPr>
        <w:ind w:firstLine="720"/>
        <w:jc w:val="both"/>
      </w:pPr>
      <w:r>
        <w:t>Whereas, increased costs for Tykeson Hall, detailed in materials provided to the Board</w:t>
      </w:r>
      <w:r w:rsidR="00D97675">
        <w:t xml:space="preserve"> accompanying this resolution</w:t>
      </w:r>
      <w:r>
        <w:t xml:space="preserve">, are primarily related to the addition of an entire floor to the original project design, allowing for greater synergies in office placement and </w:t>
      </w:r>
      <w:r w:rsidR="00C551D0">
        <w:t>improved building efficiencies</w:t>
      </w:r>
      <w:r>
        <w:t xml:space="preserve">; </w:t>
      </w:r>
      <w:r w:rsidR="00D97675">
        <w:t>and,</w:t>
      </w:r>
    </w:p>
    <w:p w14:paraId="7DE88AA1" w14:textId="77777777" w:rsidR="00187EB9" w:rsidRDefault="00187EB9" w:rsidP="00187EB9">
      <w:pPr>
        <w:jc w:val="both"/>
      </w:pPr>
    </w:p>
    <w:p w14:paraId="09DA236D" w14:textId="77777777" w:rsidR="00760B16" w:rsidRPr="00544E2E" w:rsidRDefault="00760B16" w:rsidP="00760B16">
      <w:pPr>
        <w:ind w:firstLine="720"/>
        <w:jc w:val="both"/>
      </w:pPr>
      <w:r w:rsidRPr="00544E2E">
        <w:t xml:space="preserve">Whereas, the Finance and Facilities Committee </w:t>
      </w:r>
      <w:r>
        <w:t xml:space="preserve">has referred this matter to the </w:t>
      </w:r>
      <w:r w:rsidRPr="00544E2E">
        <w:t>Board as</w:t>
      </w:r>
      <w:r>
        <w:t xml:space="preserve"> a seconded motion, recommending passage.</w:t>
      </w:r>
    </w:p>
    <w:p w14:paraId="0F597355" w14:textId="77777777" w:rsidR="00765C00" w:rsidRDefault="00765C00" w:rsidP="00C44345">
      <w:pPr>
        <w:jc w:val="both"/>
      </w:pPr>
    </w:p>
    <w:p w14:paraId="7E5C7627" w14:textId="725F7E93" w:rsidR="00341E94" w:rsidRDefault="00AB1CE9" w:rsidP="00D97675">
      <w:pPr>
        <w:ind w:left="720" w:right="720"/>
        <w:jc w:val="both"/>
      </w:pPr>
      <w:r>
        <w:t xml:space="preserve">NOW THEREFORE, </w:t>
      </w:r>
      <w:r w:rsidR="004619AD">
        <w:t xml:space="preserve">the Board </w:t>
      </w:r>
      <w:r w:rsidR="00150927">
        <w:t>of Trustees</w:t>
      </w:r>
      <w:r w:rsidR="00F94014">
        <w:t xml:space="preserve"> of the University of Oregon</w:t>
      </w:r>
      <w:r w:rsidR="00150927">
        <w:t xml:space="preserve"> </w:t>
      </w:r>
      <w:r w:rsidR="000B47E5">
        <w:t xml:space="preserve">hereby </w:t>
      </w:r>
      <w:r w:rsidR="00A86BB2">
        <w:t xml:space="preserve">authorizes </w:t>
      </w:r>
      <w:r w:rsidR="00D97675">
        <w:t>a</w:t>
      </w:r>
      <w:r w:rsidR="004D69C9">
        <w:t xml:space="preserve"> </w:t>
      </w:r>
      <w:r w:rsidR="004D69C9" w:rsidRPr="004D69C9">
        <w:t xml:space="preserve">new </w:t>
      </w:r>
      <w:r w:rsidR="00A86BB2" w:rsidRPr="004D69C9">
        <w:t xml:space="preserve">budget of </w:t>
      </w:r>
      <w:r w:rsidR="004D69C9" w:rsidRPr="004D69C9">
        <w:t>$45.55 million</w:t>
      </w:r>
      <w:r w:rsidR="00A86BB2">
        <w:t xml:space="preserve"> for the construction of Tykeson Hall (also referred to as the College and Careers Building), originally </w:t>
      </w:r>
      <w:r w:rsidR="00D97675">
        <w:t>approved on September 11, 2015; hereby ratifies all prior actions and decisions related to the updated project scope and budget; and, hereby authorizes t</w:t>
      </w:r>
      <w:r w:rsidR="00EC63BA">
        <w:t>he President or</w:t>
      </w:r>
      <w:r w:rsidR="00F94014" w:rsidRPr="00B45E30">
        <w:t xml:space="preserve"> his designee</w:t>
      </w:r>
      <w:r w:rsidR="00341E94" w:rsidRPr="00B45E30">
        <w:t>(</w:t>
      </w:r>
      <w:r w:rsidR="00F94014" w:rsidRPr="00B45E30">
        <w:t>s</w:t>
      </w:r>
      <w:r w:rsidR="00341E94" w:rsidRPr="00B45E30">
        <w:t>)</w:t>
      </w:r>
      <w:r w:rsidR="00F94014" w:rsidRPr="00B45E30">
        <w:t xml:space="preserve"> to take all actions necessary and proper to </w:t>
      </w:r>
      <w:r w:rsidR="009913DD" w:rsidRPr="00B45E30">
        <w:t>e</w:t>
      </w:r>
      <w:r w:rsidR="00904C99" w:rsidRPr="00B45E30">
        <w:t>xecute this decision</w:t>
      </w:r>
      <w:r w:rsidR="00B45E30" w:rsidRPr="00B45E30">
        <w:t>.</w:t>
      </w:r>
      <w:r w:rsidR="00904C99" w:rsidRPr="00B45E30">
        <w:t xml:space="preserve"> </w:t>
      </w:r>
    </w:p>
    <w:p w14:paraId="34B6E96B" w14:textId="77777777" w:rsidR="00150927" w:rsidRDefault="00150927" w:rsidP="00150927">
      <w:pPr>
        <w:ind w:left="1080"/>
        <w:jc w:val="both"/>
      </w:pPr>
    </w:p>
    <w:p w14:paraId="51A221C7" w14:textId="77777777" w:rsidR="00760B16" w:rsidRDefault="00760B16" w:rsidP="00760B16"/>
    <w:p w14:paraId="229A2CCB" w14:textId="20D829BD" w:rsidR="00A9247C" w:rsidRPr="00A9247C" w:rsidRDefault="00542FB4" w:rsidP="00760B16">
      <w:r>
        <w:t xml:space="preserve">VOTE:  </w:t>
      </w:r>
      <w:r w:rsidR="00A9247C">
        <w:t>Voice Vote Recorded – Ayes carried (no dissention)</w:t>
      </w:r>
    </w:p>
    <w:p w14:paraId="141AC9A9" w14:textId="77777777" w:rsidR="00542FB4" w:rsidRDefault="00542FB4" w:rsidP="00760B16"/>
    <w:p w14:paraId="6CE7FB0E" w14:textId="07FCC254" w:rsidR="00760B16" w:rsidRDefault="00542FB4" w:rsidP="00760B16">
      <w:r>
        <w:t>DATE:</w:t>
      </w:r>
      <w:r w:rsidR="00C43FB2">
        <w:rPr>
          <w:noProof/>
        </w:rPr>
        <w:drawing>
          <wp:anchor distT="0" distB="0" distL="114300" distR="114300" simplePos="0" relativeHeight="251658240" behindDoc="1" locked="0" layoutInCell="1" allowOverlap="1" wp14:anchorId="7C836570" wp14:editId="06D6DF97">
            <wp:simplePos x="0" y="0"/>
            <wp:positionH relativeFrom="column">
              <wp:posOffset>2406650</wp:posOffset>
            </wp:positionH>
            <wp:positionV relativeFrom="paragraph">
              <wp:posOffset>163195</wp:posOffset>
            </wp:positionV>
            <wp:extent cx="575945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December 8, 2017</w:t>
      </w:r>
    </w:p>
    <w:p w14:paraId="43D2CD40" w14:textId="64119617" w:rsidR="00C43FB2" w:rsidRDefault="00C43FB2" w:rsidP="00760B16"/>
    <w:p w14:paraId="0918E1DA" w14:textId="77777777" w:rsidR="00C43FB2" w:rsidRDefault="00C43FB2" w:rsidP="00760B16"/>
    <w:p w14:paraId="42D199C7" w14:textId="055E0FBC" w:rsidR="00923473" w:rsidRPr="00C43FB2" w:rsidRDefault="00C43FB2" w:rsidP="000B47E5">
      <w:pPr>
        <w:rPr>
          <w:i/>
        </w:rPr>
      </w:pPr>
      <w:r>
        <w:t>Recorded by th</w:t>
      </w:r>
      <w:bookmarkStart w:id="0" w:name="_GoBack"/>
      <w:bookmarkEnd w:id="0"/>
      <w:r>
        <w:t xml:space="preserve">e University Secretary: </w:t>
      </w:r>
      <w:r w:rsidR="00760B16" w:rsidRPr="00544E2E">
        <w:rPr>
          <w:u w:val="single"/>
        </w:rPr>
        <w:tab/>
      </w:r>
      <w:r w:rsidR="00760B16" w:rsidRPr="00544E2E">
        <w:rPr>
          <w:u w:val="single"/>
        </w:rPr>
        <w:tab/>
      </w:r>
      <w:r w:rsidR="00760B16" w:rsidRPr="00544E2E">
        <w:rPr>
          <w:u w:val="single"/>
        </w:rPr>
        <w:tab/>
      </w:r>
    </w:p>
    <w:sectPr w:rsidR="00923473" w:rsidRPr="00C43FB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3B0C4" w14:textId="77777777" w:rsidR="009C34D0" w:rsidRDefault="009C34D0" w:rsidP="007A64A5">
      <w:r>
        <w:separator/>
      </w:r>
    </w:p>
  </w:endnote>
  <w:endnote w:type="continuationSeparator" w:id="0">
    <w:p w14:paraId="1DEA0598" w14:textId="77777777" w:rsidR="009C34D0" w:rsidRDefault="009C34D0" w:rsidP="007A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84D71" w14:textId="188939D8" w:rsidR="000B47E5" w:rsidRDefault="00760B16" w:rsidP="007A64A5">
    <w:pPr>
      <w:autoSpaceDE w:val="0"/>
      <w:autoSpaceDN w:val="0"/>
      <w:adjustRightInd w:val="0"/>
      <w:rPr>
        <w:rFonts w:ascii="Calibri" w:hAnsi="Calibri" w:cs="Calibri"/>
      </w:rPr>
    </w:pPr>
    <w:r>
      <w:rPr>
        <w:rFonts w:ascii="Calibri" w:hAnsi="Calibri" w:cs="Calibri"/>
      </w:rPr>
      <w:t>Board of Trustees</w:t>
    </w:r>
  </w:p>
  <w:p w14:paraId="12CE489D" w14:textId="5055F786" w:rsidR="00C44345" w:rsidRPr="00A86BB2" w:rsidRDefault="00760B16" w:rsidP="007A64A5">
    <w:pPr>
      <w:autoSpaceDE w:val="0"/>
      <w:autoSpaceDN w:val="0"/>
      <w:adjustRightInd w:val="0"/>
      <w:rPr>
        <w:rFonts w:ascii="Calibri" w:hAnsi="Calibri" w:cs="Calibri"/>
      </w:rPr>
    </w:pPr>
    <w:r>
      <w:rPr>
        <w:rFonts w:ascii="Calibri" w:hAnsi="Calibri" w:cs="Calibri"/>
      </w:rPr>
      <w:t>B</w:t>
    </w:r>
    <w:r w:rsidR="00A86BB2" w:rsidRPr="00A86BB2">
      <w:t xml:space="preserve">udget Adjustment – </w:t>
    </w:r>
    <w:proofErr w:type="spellStart"/>
    <w:r w:rsidR="00A86BB2" w:rsidRPr="00A86BB2">
      <w:t>Tykeson</w:t>
    </w:r>
    <w:proofErr w:type="spellEnd"/>
    <w:r w:rsidR="00A86BB2" w:rsidRPr="00A86BB2">
      <w:t xml:space="preserve"> Hall </w:t>
    </w:r>
    <w:r w:rsidR="00D97675">
      <w:t>Capital Project</w:t>
    </w:r>
  </w:p>
  <w:p w14:paraId="200101E2" w14:textId="2FA68993" w:rsidR="007A64A5" w:rsidRDefault="00A86BB2" w:rsidP="00341E94">
    <w:pPr>
      <w:autoSpaceDE w:val="0"/>
      <w:autoSpaceDN w:val="0"/>
      <w:adjustRightInd w:val="0"/>
    </w:pPr>
    <w:r>
      <w:rPr>
        <w:rFonts w:ascii="Calibri" w:hAnsi="Calibri" w:cs="Calibri"/>
      </w:rPr>
      <w:t xml:space="preserve">December </w:t>
    </w:r>
    <w:r w:rsidR="00760B16">
      <w:rPr>
        <w:rFonts w:ascii="Calibri" w:hAnsi="Calibri" w:cs="Calibri"/>
      </w:rPr>
      <w:t>8</w:t>
    </w:r>
    <w:r w:rsidR="000B47E5">
      <w:rPr>
        <w:rFonts w:ascii="Calibri" w:hAnsi="Calibri" w:cs="Calibri"/>
      </w:rPr>
      <w:t>, 2017</w:t>
    </w:r>
    <w:r w:rsidR="00341E94">
      <w:rPr>
        <w:rFonts w:ascii="Calibri" w:hAnsi="Calibri" w:cs="Calibri"/>
      </w:rPr>
      <w:tab/>
    </w:r>
    <w:r w:rsidR="007A64A5">
      <w:rPr>
        <w:rFonts w:ascii="Calibri" w:hAnsi="Calibri" w:cs="Calibri"/>
      </w:rPr>
      <w:t xml:space="preserve">Page </w:t>
    </w:r>
    <w:r w:rsidR="007A64A5" w:rsidRPr="00883AE5">
      <w:rPr>
        <w:rFonts w:ascii="Calibri" w:hAnsi="Calibri" w:cs="Calibri"/>
      </w:rPr>
      <w:fldChar w:fldCharType="begin"/>
    </w:r>
    <w:r w:rsidR="007A64A5" w:rsidRPr="00883AE5">
      <w:rPr>
        <w:rFonts w:ascii="Calibri" w:hAnsi="Calibri" w:cs="Calibri"/>
      </w:rPr>
      <w:instrText xml:space="preserve"> PAGE   \* MERGEFORMAT </w:instrText>
    </w:r>
    <w:r w:rsidR="007A64A5" w:rsidRPr="00883AE5">
      <w:rPr>
        <w:rFonts w:ascii="Calibri" w:hAnsi="Calibri" w:cs="Calibri"/>
      </w:rPr>
      <w:fldChar w:fldCharType="separate"/>
    </w:r>
    <w:r w:rsidR="00542FB4">
      <w:rPr>
        <w:rFonts w:ascii="Calibri" w:hAnsi="Calibri" w:cs="Calibri"/>
        <w:noProof/>
      </w:rPr>
      <w:t>1</w:t>
    </w:r>
    <w:r w:rsidR="007A64A5" w:rsidRPr="00883AE5">
      <w:rPr>
        <w:rFonts w:ascii="Calibri" w:hAnsi="Calibri" w:cs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6E6A6" w14:textId="77777777" w:rsidR="009C34D0" w:rsidRDefault="009C34D0" w:rsidP="007A64A5">
      <w:r>
        <w:separator/>
      </w:r>
    </w:p>
  </w:footnote>
  <w:footnote w:type="continuationSeparator" w:id="0">
    <w:p w14:paraId="3CF7AC7C" w14:textId="77777777" w:rsidR="009C34D0" w:rsidRDefault="009C34D0" w:rsidP="007A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A76BD8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FC726C"/>
    <w:multiLevelType w:val="hybridMultilevel"/>
    <w:tmpl w:val="5DF272C4"/>
    <w:lvl w:ilvl="0" w:tplc="F2240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914C4E"/>
    <w:multiLevelType w:val="hybridMultilevel"/>
    <w:tmpl w:val="BDEA31F8"/>
    <w:lvl w:ilvl="0" w:tplc="6CA09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1951FF"/>
    <w:multiLevelType w:val="hybridMultilevel"/>
    <w:tmpl w:val="D3201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315B6"/>
    <w:multiLevelType w:val="hybridMultilevel"/>
    <w:tmpl w:val="3A8E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B7DC2"/>
    <w:multiLevelType w:val="hybridMultilevel"/>
    <w:tmpl w:val="D70A1D5E"/>
    <w:lvl w:ilvl="0" w:tplc="434654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7542F"/>
    <w:multiLevelType w:val="hybridMultilevel"/>
    <w:tmpl w:val="FAF0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EA"/>
    <w:rsid w:val="00036736"/>
    <w:rsid w:val="000455AE"/>
    <w:rsid w:val="00050E9D"/>
    <w:rsid w:val="0006433E"/>
    <w:rsid w:val="00067A45"/>
    <w:rsid w:val="000B47E5"/>
    <w:rsid w:val="000B4A07"/>
    <w:rsid w:val="000D00F2"/>
    <w:rsid w:val="000E1A80"/>
    <w:rsid w:val="00115048"/>
    <w:rsid w:val="00150927"/>
    <w:rsid w:val="0018044D"/>
    <w:rsid w:val="00187EB9"/>
    <w:rsid w:val="001A6EEA"/>
    <w:rsid w:val="001D0695"/>
    <w:rsid w:val="001D35FD"/>
    <w:rsid w:val="001E4A4F"/>
    <w:rsid w:val="001F61BE"/>
    <w:rsid w:val="00205A31"/>
    <w:rsid w:val="002106D1"/>
    <w:rsid w:val="002112B3"/>
    <w:rsid w:val="002426D6"/>
    <w:rsid w:val="00243A85"/>
    <w:rsid w:val="00277275"/>
    <w:rsid w:val="002901C8"/>
    <w:rsid w:val="00296CCE"/>
    <w:rsid w:val="002A66C1"/>
    <w:rsid w:val="002F5C02"/>
    <w:rsid w:val="003034EF"/>
    <w:rsid w:val="00314933"/>
    <w:rsid w:val="00341E94"/>
    <w:rsid w:val="00363F6B"/>
    <w:rsid w:val="00383A95"/>
    <w:rsid w:val="00390B27"/>
    <w:rsid w:val="00393C24"/>
    <w:rsid w:val="003B0EB6"/>
    <w:rsid w:val="003C15EF"/>
    <w:rsid w:val="003C1D45"/>
    <w:rsid w:val="003E0287"/>
    <w:rsid w:val="003E3E94"/>
    <w:rsid w:val="003F4254"/>
    <w:rsid w:val="00426C9D"/>
    <w:rsid w:val="00444B40"/>
    <w:rsid w:val="004545AA"/>
    <w:rsid w:val="004619AD"/>
    <w:rsid w:val="00472C7E"/>
    <w:rsid w:val="0047483D"/>
    <w:rsid w:val="0048134F"/>
    <w:rsid w:val="004A404B"/>
    <w:rsid w:val="004B1C2D"/>
    <w:rsid w:val="004B1CB3"/>
    <w:rsid w:val="004B2CA2"/>
    <w:rsid w:val="004B3A5D"/>
    <w:rsid w:val="004C7308"/>
    <w:rsid w:val="004D69C9"/>
    <w:rsid w:val="00542FB4"/>
    <w:rsid w:val="00547651"/>
    <w:rsid w:val="00590148"/>
    <w:rsid w:val="005D433F"/>
    <w:rsid w:val="005E167D"/>
    <w:rsid w:val="006554E5"/>
    <w:rsid w:val="00697B31"/>
    <w:rsid w:val="006A5D9C"/>
    <w:rsid w:val="006D6953"/>
    <w:rsid w:val="00721348"/>
    <w:rsid w:val="00732A19"/>
    <w:rsid w:val="00734D45"/>
    <w:rsid w:val="007510CB"/>
    <w:rsid w:val="00756304"/>
    <w:rsid w:val="00760B16"/>
    <w:rsid w:val="00765C00"/>
    <w:rsid w:val="00770C1A"/>
    <w:rsid w:val="00776E92"/>
    <w:rsid w:val="00785F7C"/>
    <w:rsid w:val="007A64A5"/>
    <w:rsid w:val="007C25FE"/>
    <w:rsid w:val="007C298B"/>
    <w:rsid w:val="007D1771"/>
    <w:rsid w:val="007F1B9C"/>
    <w:rsid w:val="007F1D53"/>
    <w:rsid w:val="007F74A6"/>
    <w:rsid w:val="00852773"/>
    <w:rsid w:val="0085323B"/>
    <w:rsid w:val="00867D27"/>
    <w:rsid w:val="00871504"/>
    <w:rsid w:val="0087533C"/>
    <w:rsid w:val="0088080D"/>
    <w:rsid w:val="008853BF"/>
    <w:rsid w:val="008B4796"/>
    <w:rsid w:val="008C293B"/>
    <w:rsid w:val="008C2B5B"/>
    <w:rsid w:val="008D15CF"/>
    <w:rsid w:val="00904C99"/>
    <w:rsid w:val="00923473"/>
    <w:rsid w:val="00941203"/>
    <w:rsid w:val="00967028"/>
    <w:rsid w:val="009813F5"/>
    <w:rsid w:val="009913DD"/>
    <w:rsid w:val="009A3DB8"/>
    <w:rsid w:val="009C13E1"/>
    <w:rsid w:val="009C34D0"/>
    <w:rsid w:val="009F2E08"/>
    <w:rsid w:val="009F614D"/>
    <w:rsid w:val="00A54D1B"/>
    <w:rsid w:val="00A5678B"/>
    <w:rsid w:val="00A6404F"/>
    <w:rsid w:val="00A802F2"/>
    <w:rsid w:val="00A86BB2"/>
    <w:rsid w:val="00A9247C"/>
    <w:rsid w:val="00AA3BED"/>
    <w:rsid w:val="00AB1CE9"/>
    <w:rsid w:val="00AB1DE3"/>
    <w:rsid w:val="00AF6248"/>
    <w:rsid w:val="00B372F6"/>
    <w:rsid w:val="00B45E30"/>
    <w:rsid w:val="00B46BE8"/>
    <w:rsid w:val="00B50117"/>
    <w:rsid w:val="00B62B4B"/>
    <w:rsid w:val="00BB5A72"/>
    <w:rsid w:val="00BE3499"/>
    <w:rsid w:val="00BF5CE7"/>
    <w:rsid w:val="00C06AB6"/>
    <w:rsid w:val="00C16060"/>
    <w:rsid w:val="00C43FB2"/>
    <w:rsid w:val="00C44345"/>
    <w:rsid w:val="00C551D0"/>
    <w:rsid w:val="00C741A7"/>
    <w:rsid w:val="00C857F7"/>
    <w:rsid w:val="00CC5FB8"/>
    <w:rsid w:val="00CE7DBC"/>
    <w:rsid w:val="00D14519"/>
    <w:rsid w:val="00D223D2"/>
    <w:rsid w:val="00D52602"/>
    <w:rsid w:val="00D80C9C"/>
    <w:rsid w:val="00D90702"/>
    <w:rsid w:val="00D92DEA"/>
    <w:rsid w:val="00D97675"/>
    <w:rsid w:val="00DA5ADE"/>
    <w:rsid w:val="00DA7FE6"/>
    <w:rsid w:val="00DC444D"/>
    <w:rsid w:val="00DC4687"/>
    <w:rsid w:val="00DE1510"/>
    <w:rsid w:val="00DF23CE"/>
    <w:rsid w:val="00E24D9A"/>
    <w:rsid w:val="00E27AC4"/>
    <w:rsid w:val="00E41899"/>
    <w:rsid w:val="00E577B6"/>
    <w:rsid w:val="00E71AB4"/>
    <w:rsid w:val="00E74590"/>
    <w:rsid w:val="00EC63BA"/>
    <w:rsid w:val="00ED3213"/>
    <w:rsid w:val="00ED4C95"/>
    <w:rsid w:val="00EE2BDE"/>
    <w:rsid w:val="00F204E2"/>
    <w:rsid w:val="00F33BB5"/>
    <w:rsid w:val="00F80802"/>
    <w:rsid w:val="00F85B9B"/>
    <w:rsid w:val="00F94014"/>
    <w:rsid w:val="00FB0FC5"/>
    <w:rsid w:val="00FC39CE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4562063"/>
  <w15:docId w15:val="{DCC803D4-8946-4FA2-A774-3336D638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D145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4519"/>
  </w:style>
  <w:style w:type="paragraph" w:styleId="Header">
    <w:name w:val="header"/>
    <w:basedOn w:val="Normal"/>
    <w:link w:val="HeaderChar"/>
    <w:uiPriority w:val="99"/>
    <w:unhideWhenUsed/>
    <w:rsid w:val="007A6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4A5"/>
  </w:style>
  <w:style w:type="paragraph" w:styleId="Footer">
    <w:name w:val="footer"/>
    <w:basedOn w:val="Normal"/>
    <w:link w:val="FooterChar"/>
    <w:uiPriority w:val="99"/>
    <w:unhideWhenUsed/>
    <w:rsid w:val="007A6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4A5"/>
  </w:style>
  <w:style w:type="table" w:styleId="TableGrid">
    <w:name w:val="Table Grid"/>
    <w:basedOn w:val="TableNormal"/>
    <w:uiPriority w:val="59"/>
    <w:rsid w:val="00941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3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4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4C95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4C95"/>
    <w:rPr>
      <w:rFonts w:ascii="Calibri" w:eastAsia="Calibri" w:hAnsi="Calibri" w:cs="Times New Roman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63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F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F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6BE8"/>
  </w:style>
  <w:style w:type="table" w:customStyle="1" w:styleId="TableGrid1">
    <w:name w:val="Table Grid1"/>
    <w:basedOn w:val="TableNormal"/>
    <w:uiPriority w:val="59"/>
    <w:rsid w:val="00F33B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linger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6770DD-6776-4AF2-8B45-80BE7D4A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Tobin Klinger</dc:creator>
  <cp:lastModifiedBy>Jennifer LaBelle</cp:lastModifiedBy>
  <cp:revision>6</cp:revision>
  <cp:lastPrinted>2014-08-28T16:51:00Z</cp:lastPrinted>
  <dcterms:created xsi:type="dcterms:W3CDTF">2017-12-08T19:29:00Z</dcterms:created>
  <dcterms:modified xsi:type="dcterms:W3CDTF">2017-12-08T19:39:00Z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